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28" w:rsidRPr="00A97166" w:rsidRDefault="005262B3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Муниципальное </w:t>
      </w:r>
      <w:r w:rsidR="00A97166"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>автономное</w:t>
      </w:r>
      <w:r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дошкольное образовательное учреждение</w:t>
      </w:r>
      <w:r w:rsidR="00A97166"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-</w:t>
      </w:r>
      <w:r w:rsidR="00A9716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A97166"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>д</w:t>
      </w:r>
      <w:r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етский сад </w:t>
      </w:r>
      <w:r w:rsidR="00A97166"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>«Солнышко</w:t>
      </w:r>
      <w:r w:rsidRPr="00A97166">
        <w:rPr>
          <w:rFonts w:hAnsi="Times New Roman" w:cs="Times New Roman"/>
          <w:b/>
          <w:color w:val="000000"/>
          <w:sz w:val="28"/>
          <w:szCs w:val="24"/>
          <w:lang w:val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600"/>
      </w:tblGrid>
      <w:tr w:rsidR="00A97166" w:rsidRPr="00100F23" w:rsidTr="004C625C">
        <w:tc>
          <w:tcPr>
            <w:tcW w:w="4785" w:type="dxa"/>
          </w:tcPr>
          <w:p w:rsidR="00A97166" w:rsidRPr="004C625C" w:rsidRDefault="00A97166" w:rsidP="004C625C">
            <w:pPr>
              <w:spacing w:after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A97166" w:rsidRPr="00100F23" w:rsidRDefault="00A97166" w:rsidP="00A9716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100F23"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  <w:proofErr w:type="spellEnd"/>
            <w:r w:rsidRPr="00100F2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A97166" w:rsidRPr="00153D05" w:rsidTr="004C625C">
        <w:tc>
          <w:tcPr>
            <w:tcW w:w="4785" w:type="dxa"/>
          </w:tcPr>
          <w:p w:rsidR="00A97166" w:rsidRPr="00100F23" w:rsidRDefault="00A97166" w:rsidP="004C62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A97166" w:rsidRPr="00A97166" w:rsidRDefault="00A97166" w:rsidP="00A9716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9716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приказом </w:t>
            </w:r>
            <w:r w:rsidR="008D390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заведующего </w:t>
            </w:r>
            <w:r w:rsidRPr="00A9716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 МАДОУ  </w:t>
            </w:r>
          </w:p>
          <w:p w:rsidR="00A97166" w:rsidRPr="00A97166" w:rsidRDefault="00A97166" w:rsidP="00A97166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A97166">
              <w:rPr>
                <w:rFonts w:ascii="Times New Roman" w:hAnsi="Times New Roman"/>
                <w:sz w:val="24"/>
                <w:szCs w:val="28"/>
                <w:lang w:val="ru-RU"/>
              </w:rPr>
              <w:t>детском</w:t>
            </w:r>
            <w:r w:rsidR="008D390E">
              <w:rPr>
                <w:rFonts w:ascii="Times New Roman" w:hAnsi="Times New Roman"/>
                <w:sz w:val="24"/>
                <w:szCs w:val="28"/>
                <w:lang w:val="ru-RU"/>
              </w:rPr>
              <w:t>у</w:t>
            </w:r>
            <w:r w:rsidRPr="00A9716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саду   «Солнышко»</w:t>
            </w:r>
          </w:p>
        </w:tc>
      </w:tr>
      <w:tr w:rsidR="00A97166" w:rsidRPr="00100F23" w:rsidTr="004C625C">
        <w:tc>
          <w:tcPr>
            <w:tcW w:w="4785" w:type="dxa"/>
          </w:tcPr>
          <w:p w:rsidR="00A97166" w:rsidRPr="00A97166" w:rsidRDefault="00A97166" w:rsidP="004C625C">
            <w:pPr>
              <w:spacing w:after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A97166" w:rsidRPr="00100F23" w:rsidRDefault="00A97166" w:rsidP="00A97166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00F23">
              <w:rPr>
                <w:rFonts w:ascii="Times New Roman" w:hAnsi="Times New Roman"/>
                <w:sz w:val="24"/>
                <w:szCs w:val="28"/>
              </w:rPr>
              <w:t xml:space="preserve">№  </w:t>
            </w:r>
            <w:r w:rsidR="008D390E">
              <w:rPr>
                <w:rFonts w:ascii="Times New Roman" w:hAnsi="Times New Roman"/>
                <w:sz w:val="24"/>
                <w:szCs w:val="28"/>
                <w:lang w:val="ru-RU"/>
              </w:rPr>
              <w:t>60</w:t>
            </w:r>
            <w:proofErr w:type="gramEnd"/>
            <w:r w:rsidR="008D390E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proofErr w:type="spellStart"/>
            <w:r w:rsidR="008D390E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r w:rsidR="008D390E">
              <w:rPr>
                <w:rFonts w:ascii="Times New Roman" w:hAnsi="Times New Roman"/>
                <w:sz w:val="24"/>
                <w:szCs w:val="28"/>
              </w:rPr>
              <w:t xml:space="preserve">  «31</w:t>
            </w:r>
            <w:r w:rsidRPr="00100F23">
              <w:rPr>
                <w:rFonts w:ascii="Times New Roman" w:hAnsi="Times New Roman"/>
                <w:sz w:val="24"/>
                <w:szCs w:val="28"/>
              </w:rPr>
              <w:t>»_</w:t>
            </w:r>
            <w:r w:rsidR="008D390E">
              <w:rPr>
                <w:rFonts w:ascii="Times New Roman" w:hAnsi="Times New Roman"/>
                <w:sz w:val="24"/>
                <w:szCs w:val="28"/>
                <w:lang w:val="ru-RU"/>
              </w:rPr>
              <w:t>августа</w:t>
            </w:r>
            <w:r w:rsidR="008D390E">
              <w:rPr>
                <w:rFonts w:ascii="Times New Roman" w:hAnsi="Times New Roman"/>
                <w:sz w:val="24"/>
                <w:szCs w:val="28"/>
              </w:rPr>
              <w:t>___</w:t>
            </w:r>
            <w:r w:rsidRPr="00100F23">
              <w:rPr>
                <w:rFonts w:ascii="Times New Roman" w:hAnsi="Times New Roman"/>
                <w:sz w:val="24"/>
                <w:szCs w:val="28"/>
              </w:rPr>
              <w:t>20</w:t>
            </w:r>
            <w:r w:rsidR="008D390E">
              <w:rPr>
                <w:rFonts w:ascii="Times New Roman" w:hAnsi="Times New Roman"/>
                <w:sz w:val="24"/>
                <w:szCs w:val="28"/>
                <w:lang w:val="ru-RU"/>
              </w:rPr>
              <w:t>22</w:t>
            </w:r>
            <w:r w:rsidRPr="00100F23">
              <w:rPr>
                <w:rFonts w:ascii="Times New Roman" w:hAnsi="Times New Roman"/>
                <w:sz w:val="24"/>
                <w:szCs w:val="28"/>
              </w:rPr>
              <w:t xml:space="preserve"> г.           </w:t>
            </w:r>
          </w:p>
        </w:tc>
      </w:tr>
    </w:tbl>
    <w:p w:rsidR="00AF0628" w:rsidRPr="00250C8A" w:rsidRDefault="005262B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50C8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 системе</w:t>
      </w:r>
      <w:r w:rsidR="00153D0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внутренней</w:t>
      </w:r>
      <w:r w:rsidRPr="00250C8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оценки качества образования</w:t>
      </w: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</w:t>
      </w:r>
      <w:proofErr w:type="gram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bookmarkStart w:id="0" w:name="_GoBack"/>
      <w:bookmarkEnd w:id="0"/>
      <w:r w:rsidR="00153D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</w:t>
      </w:r>
      <w:proofErr w:type="gramEnd"/>
      <w:r w:rsidR="00153D05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качества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Положение)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A97166">
        <w:rPr>
          <w:rFonts w:hAnsi="Times New Roman" w:cs="Times New Roman"/>
          <w:color w:val="000000"/>
          <w:sz w:val="24"/>
          <w:szCs w:val="24"/>
          <w:lang w:val="ru-RU"/>
        </w:rPr>
        <w:t>автономном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дошкольном образовательном учреждении </w:t>
      </w:r>
      <w:r w:rsidR="00A97166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A97166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детский сад):</w:t>
      </w:r>
    </w:p>
    <w:p w:rsidR="00AF0628" w:rsidRPr="00A97166" w:rsidRDefault="005262B3" w:rsidP="00A971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состав контрольно-оценочных процедур;</w:t>
      </w:r>
    </w:p>
    <w:p w:rsidR="00AF0628" w:rsidRPr="00A97166" w:rsidRDefault="005262B3" w:rsidP="00A971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контрольно-оценочных процедур;</w:t>
      </w:r>
    </w:p>
    <w:p w:rsidR="00AF0628" w:rsidRPr="00A97166" w:rsidRDefault="005262B3" w:rsidP="00A971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формы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направлениям;</w:t>
      </w:r>
    </w:p>
    <w:p w:rsidR="00AF0628" w:rsidRPr="00A97166" w:rsidRDefault="005262B3" w:rsidP="00A971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 процедуры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параметры,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процессе федерального государственного контроля качества образования.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1155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дошкольного образования»;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«Развитие образования», утвержденной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26.12.2017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1642;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организации, утвержденным приказом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14.06.2013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462;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10.12.2013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1324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показателей деятельности образовательной организации, подлежащей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114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AF0628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Pr="00A97166" w:rsidRDefault="005262B3" w:rsidP="00A97166">
      <w:pPr>
        <w:numPr>
          <w:ilvl w:val="0"/>
          <w:numId w:val="2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термины: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образования, выражающая степень его соответствия требованиям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части обеспечения государственных гарантий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единства обязательных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условиям реализации образовательных программ дошкольного образования.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выполнение санитарно-гигиенических норм организации образовательного процесса; организация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ДОО; реализация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ходе организации образовательного процесса.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процесс,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результате которого определяется степень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обеспечения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системе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целостная система диагностических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ДОО. Критерий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признак,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производится оценка, классификация оцениваемого объекта.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достижения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обеспечения общепризнанной,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локальных актах системе государственно-общественных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также личностным ожиданиям участников образовательного процесса.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метод регистрации состояния качества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также оценка уровня образовательных достижений, которые имеют стандартизированную форму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содержание которых соответствует реализуемым образовательным программам.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источников данных для оценки качества образования используются:</w:t>
      </w:r>
    </w:p>
    <w:p w:rsidR="00AF0628" w:rsidRPr="00A97166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внутреннего контроля образовательной деятельности;</w:t>
      </w:r>
    </w:p>
    <w:p w:rsidR="00AF0628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психолого-педагогическая диагностика;</w:t>
      </w:r>
    </w:p>
    <w:p w:rsidR="00AF0628" w:rsidRPr="00A97166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социологическое анкетирование (участников образовательных отношений);</w:t>
      </w:r>
    </w:p>
    <w:p w:rsidR="00AF0628" w:rsidRPr="00A97166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аналитические отчеты педагогов ДОО (об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итогах реализации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ДО, созданных условиях для качественной реализации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ДО);</w:t>
      </w:r>
    </w:p>
    <w:p w:rsidR="00AF0628" w:rsidRPr="00A97166" w:rsidRDefault="005262B3" w:rsidP="00A97166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наблюдение организованной образовательной деятельности, мероприятий, организуемых педагогами ДОО.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1.5. Настоящее Положение, все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изменения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нему рассматриваются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принимаются педагогическим советом детского сада, утверждаются приказом заведующего детского сада.</w:t>
      </w:r>
    </w:p>
    <w:p w:rsidR="00AF0628" w:rsidRPr="00A97166" w:rsidRDefault="005262B3" w:rsidP="00A971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цели, задачи, принципы ВСОКО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2.1. Цель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установить соответствие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 действующему 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AF0628" w:rsidRPr="00A97166" w:rsidRDefault="005262B3" w:rsidP="00A9716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формирование механизма единой системы сбора, 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хранения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F0628" w:rsidRPr="00A97166" w:rsidRDefault="005262B3" w:rsidP="00A9716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системы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принятия обоснованных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своевременных управленческих решений,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образования;</w:t>
      </w:r>
    </w:p>
    <w:p w:rsidR="00AF0628" w:rsidRPr="00A97166" w:rsidRDefault="005262B3" w:rsidP="00A9716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устранение эффекта неполноты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неточности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этапе планирования образовательных результатов,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этапе оценки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достижению соответствующего качества образования.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2.3. Назначение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обеспечение детского сада информацией:</w:t>
      </w:r>
    </w:p>
    <w:p w:rsidR="00AF0628" w:rsidRPr="00A97166" w:rsidRDefault="005262B3" w:rsidP="00A97166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F0628" w:rsidRDefault="005262B3" w:rsidP="00A97166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условий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саду, обеспечивающих реализацию </w:t>
      </w:r>
      <w:r>
        <w:rPr>
          <w:rFonts w:hAnsi="Times New Roman" w:cs="Times New Roman"/>
          <w:color w:val="000000"/>
          <w:sz w:val="24"/>
          <w:szCs w:val="24"/>
        </w:rPr>
        <w:t>ООП ДО;</w:t>
      </w:r>
    </w:p>
    <w:p w:rsidR="00AF0628" w:rsidRPr="00A97166" w:rsidRDefault="005262B3" w:rsidP="00A97166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образовательных результатов, достигнутых при реализации ООП ДО.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2.4. Основными принципами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системности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доступности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состоянии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для участников образовательных отношений;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многократного использования);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 используемых показателей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учетом существующих возможностей сбора данных, методик измерений,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интерпретации данных, подготовленности потребителей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восприятию);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взаимозависимостей;</w:t>
      </w:r>
    </w:p>
    <w:p w:rsidR="00AF0628" w:rsidRPr="00A97166" w:rsidRDefault="005262B3" w:rsidP="00A97166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AF0628" w:rsidRPr="00A97166" w:rsidRDefault="005262B3" w:rsidP="00A971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3.1. Обязанность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рабочую группу, состав которой утверждается приказом детского сада.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3.2.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</w:t>
      </w:r>
      <w:r>
        <w:rPr>
          <w:rFonts w:hAnsi="Times New Roman" w:cs="Times New Roman"/>
          <w:color w:val="000000"/>
          <w:sz w:val="24"/>
          <w:szCs w:val="24"/>
        </w:rPr>
        <w:t>ВСОКО:</w:t>
      </w:r>
    </w:p>
    <w:p w:rsidR="00AF0628" w:rsidRPr="00A97166" w:rsidRDefault="005262B3" w:rsidP="00A9716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формирует блок локальных актов, которые регулируют функционирование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саду, представляет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утверждение заведующему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контролирует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исполнение;</w:t>
      </w:r>
    </w:p>
    <w:p w:rsidR="00AF0628" w:rsidRPr="00A97166" w:rsidRDefault="005262B3" w:rsidP="00A9716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обеспечивает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проведение мониторинговых, социологических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статистических процедур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вопросам качества образования;</w:t>
      </w:r>
    </w:p>
    <w:p w:rsidR="00AF0628" w:rsidRPr="00A97166" w:rsidRDefault="005262B3" w:rsidP="00A9716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организует сбор, обработку,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уровне детского сада;</w:t>
      </w:r>
    </w:p>
    <w:p w:rsidR="00AF0628" w:rsidRPr="00A97166" w:rsidRDefault="005262B3" w:rsidP="00A9716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формирует информационно-аналитические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F0628" w:rsidRPr="00A97166" w:rsidRDefault="005262B3" w:rsidP="00A9716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предлагает проекты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ВСОКО.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Педагогический совет детского сада:</w:t>
      </w:r>
    </w:p>
    <w:p w:rsidR="00AF0628" w:rsidRPr="00A97166" w:rsidRDefault="005262B3" w:rsidP="00A97166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информационно-аналитические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F0628" w:rsidRPr="00A97166" w:rsidRDefault="005262B3" w:rsidP="00A97166">
      <w:pPr>
        <w:numPr>
          <w:ilvl w:val="0"/>
          <w:numId w:val="8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процессе оценки качества.</w:t>
      </w:r>
    </w:p>
    <w:p w:rsidR="00AF0628" w:rsidRPr="00A97166" w:rsidRDefault="005262B3" w:rsidP="00A971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части дошкольного образования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ФГОС ДО).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Направлениями ВСОКО являются:</w:t>
      </w:r>
    </w:p>
    <w:p w:rsidR="00AF0628" w:rsidRPr="00A97166" w:rsidRDefault="005262B3" w:rsidP="00A97166">
      <w:pPr>
        <w:numPr>
          <w:ilvl w:val="0"/>
          <w:numId w:val="9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AF0628" w:rsidRPr="00A97166" w:rsidRDefault="005262B3" w:rsidP="00A97166">
      <w:pPr>
        <w:numPr>
          <w:ilvl w:val="0"/>
          <w:numId w:val="9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качество организации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AF0628" w:rsidRPr="00A97166" w:rsidRDefault="005262B3" w:rsidP="00A97166">
      <w:pPr>
        <w:numPr>
          <w:ilvl w:val="0"/>
          <w:numId w:val="9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качество результатов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4.2.1. Система оценки 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условий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детского сада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4.2.1.1. Развивающей предметно-пространственной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том числе для реализации программы воспитания (приложение 1):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трансформируемость пространства;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полифункциональность игровых материалов;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вариативность предметно-пространственной среды;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доступность предметно-пространственной среды;</w:t>
      </w:r>
    </w:p>
    <w:p w:rsidR="00AF0628" w:rsidRDefault="005262B3" w:rsidP="00A97166">
      <w:pPr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предметно-пространственной среды.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Материально-технических условий (приложение 2):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материально-техническому обеспечению образовательных программ;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средствам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воспитания, используемым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состоянию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содержанию территории,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контролю организации питания;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организации медицинского обслуживания воспитанников;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охране 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территории;</w:t>
      </w:r>
    </w:p>
    <w:p w:rsidR="00AF0628" w:rsidRPr="00A97166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требования,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правилами пожарной безопасности;</w:t>
      </w:r>
    </w:p>
    <w:p w:rsidR="00AF0628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Default="005262B3" w:rsidP="00A97166">
      <w:pPr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доступной среде.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Кадровых условий (приложение 3):</w:t>
      </w:r>
    </w:p>
    <w:p w:rsidR="00AF0628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образования педагогических кадров;</w:t>
      </w:r>
    </w:p>
    <w:p w:rsidR="00AF0628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квалификации педагогических кадров;</w:t>
      </w:r>
    </w:p>
    <w:p w:rsidR="00AF0628" w:rsidRPr="00A97166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педагогических работников;</w:t>
      </w:r>
    </w:p>
    <w:p w:rsidR="00AF0628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Default="005262B3" w:rsidP="00A97166">
      <w:pPr>
        <w:numPr>
          <w:ilvl w:val="0"/>
          <w:numId w:val="1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 достижения педагогических кадров.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Психолого-педагогических условий (приложение 4):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педагога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человеческому достоинству детей,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поддержка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положительной самооценки,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способностях;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методов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детьми, соответствующих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построение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взаимодействия взрослых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детьми,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учитывающего социальную ситуацию его развития;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поддержка педагогом положительного, доброжелательного отношения детей друг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другу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детей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другом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деятельности, специфических для них видах деятельности;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возможность выбора детьми материалов, видов активности, участников 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защита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насилия;</w:t>
      </w:r>
    </w:p>
    <w:p w:rsidR="00AF0628" w:rsidRPr="00A97166" w:rsidRDefault="005262B3" w:rsidP="00A97166">
      <w:pPr>
        <w:numPr>
          <w:ilvl w:val="0"/>
          <w:numId w:val="1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поддержка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укреплении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здоровья, вовлечение семей непосредственно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AF0628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4.2.1.5. Финансовых условий (приложение 5):</w:t>
      </w:r>
    </w:p>
    <w:p w:rsidR="00AF0628" w:rsidRPr="00A97166" w:rsidRDefault="005262B3" w:rsidP="00A9716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оплату труда работников;</w:t>
      </w:r>
    </w:p>
    <w:p w:rsidR="00AF0628" w:rsidRPr="00A97166" w:rsidRDefault="005262B3" w:rsidP="00A9716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приобретение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воспитания, соответствующих материалов;</w:t>
      </w:r>
    </w:p>
    <w:p w:rsidR="00AF0628" w:rsidRPr="00A97166" w:rsidRDefault="005262B3" w:rsidP="00A9716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профессиональным образованием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профилю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деятельности;</w:t>
      </w:r>
    </w:p>
    <w:p w:rsidR="00AF0628" w:rsidRPr="00A97166" w:rsidRDefault="005262B3" w:rsidP="00A9716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контроль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финансовом обеспечении, представленной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сада;</w:t>
      </w:r>
    </w:p>
    <w:p w:rsidR="00AF0628" w:rsidRPr="00A97166" w:rsidRDefault="005262B3" w:rsidP="00A9716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4.2.2. Система оценки 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организации образовательной деятельности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себя оценку (приложение 6):</w:t>
      </w:r>
    </w:p>
    <w:p w:rsidR="00AF0628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ДО;</w:t>
      </w:r>
    </w:p>
    <w:p w:rsidR="00AF0628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АООП ДО;</w:t>
      </w:r>
    </w:p>
    <w:p w:rsidR="00AF0628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 программы воспитания;</w:t>
      </w:r>
    </w:p>
    <w:p w:rsidR="00AF0628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дополнительных общеразвивающих программ;</w:t>
      </w:r>
    </w:p>
    <w:p w:rsidR="00AF0628" w:rsidRPr="00A97166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качества осуществления педагогами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</w:t>
      </w:r>
    </w:p>
    <w:p w:rsidR="00AF0628" w:rsidRPr="00A97166" w:rsidRDefault="005262B3" w:rsidP="00A97166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качества взаимодействия участников образовательных отношений,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также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4.2.3. Содержание процедуры оценки системы 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результатов освоения 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AF0628" w:rsidRPr="00A97166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динамики индивидуального развития детей при освоении ООП ДО, АООП, рабочих программ воспитания, дополнительных общеразвивающих программ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7);</w:t>
      </w:r>
    </w:p>
    <w:p w:rsidR="00AF0628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0628" w:rsidRPr="00A97166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динамики уровня адаптации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условиям детского сада;</w:t>
      </w:r>
    </w:p>
    <w:p w:rsidR="00AF0628" w:rsidRPr="00A97166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склонностей, интересов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достижений;</w:t>
      </w:r>
    </w:p>
    <w:p w:rsidR="00AF0628" w:rsidRPr="00A97166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уровня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старших дошкольников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AF0628" w:rsidRPr="00A97166" w:rsidRDefault="005262B3" w:rsidP="00250C8A">
      <w:pPr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родителей качеством образовательных результатов (приложение 8).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4.3. Для осуществления процедуры внутренней системы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составляется план-график реализации мероприятий ВСОКО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учебный год,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котором определяются направления,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оценки, сроки, периодичность, ответственные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исполнители. План-график реализации мероприятий ВСОКО является составной частью планирования деятельности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F0628" w:rsidRPr="00A97166" w:rsidRDefault="005262B3" w:rsidP="00A971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AF0628" w:rsidRPr="00A97166" w:rsidRDefault="005262B3" w:rsidP="00250C8A">
      <w:pPr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используемых методик;</w:t>
      </w:r>
    </w:p>
    <w:p w:rsidR="00AF0628" w:rsidRPr="00A97166" w:rsidRDefault="005262B3" w:rsidP="00250C8A">
      <w:pPr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данных, сопоставление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нормативными показателями;</w:t>
      </w:r>
    </w:p>
    <w:p w:rsidR="00AF0628" w:rsidRPr="00A97166" w:rsidRDefault="005262B3" w:rsidP="00250C8A">
      <w:pPr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детского сада;</w:t>
      </w:r>
    </w:p>
    <w:p w:rsidR="00AF0628" w:rsidRPr="00A97166" w:rsidRDefault="005262B3" w:rsidP="00250C8A">
      <w:pPr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факторов, принятие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устранению отрицательных последствий;</w:t>
      </w:r>
    </w:p>
    <w:p w:rsidR="00AF0628" w:rsidRPr="00A97166" w:rsidRDefault="005262B3" w:rsidP="00250C8A">
      <w:pPr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полученных данных.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4.5. Результаты оценки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схемах, графиках, таблицах, диаграммах,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справочно-аналитических материалах, содержащих констатирующую часть, 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конкретные, реально выполнимые рекомендации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исполнения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ответственных исполнителей.</w:t>
      </w:r>
    </w:p>
    <w:p w:rsidR="00AF0628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4.6. Результаты анализа данных ВСОКО могут быть использованы для составления ежегодного отчета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5.1. Придание гласности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открытости результатам оценки качества образования осуществляется путем предоставления информации заказчикам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потребителям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размещения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Лица, осуществляющие оценку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детском саду, несут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излагаемых сведений, представляемых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отчетных документах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итогам оценки.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5.3. Настоящее Положение подлежит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могут быть внесены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дополнения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основе решения педагогического совета.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5.5.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влекут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ООП ДО.</w:t>
      </w:r>
    </w:p>
    <w:p w:rsidR="00AF0628" w:rsidRPr="00A97166" w:rsidRDefault="00AF0628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РППС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5014"/>
        <w:gridCol w:w="2231"/>
        <w:gridCol w:w="1165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 насыщенности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соответствует возрастным возможностям детей (приложение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1), соответствует особенностям каждого возрастного этапа:</w:t>
            </w:r>
          </w:p>
          <w:p w:rsidR="00AF0628" w:rsidRPr="00A97166" w:rsidRDefault="005262B3" w:rsidP="00250C8A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находится мебель,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функциональному назначению подобранная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 детей;</w:t>
            </w:r>
          </w:p>
          <w:p w:rsidR="00AF0628" w:rsidRPr="00A97166" w:rsidRDefault="005262B3" w:rsidP="00250C8A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выделены функциональные зоны (пространства)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психологических, физиологических потребностей детей разного возраста;</w:t>
            </w:r>
          </w:p>
          <w:p w:rsidR="00AF0628" w:rsidRPr="00A97166" w:rsidRDefault="005262B3" w:rsidP="00250C8A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доступные детям помещения образовательной организации, включая коридоры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лестницы, используются для развития детей (оформляются детскими рисунками;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ступенях размещаются надписи, схемы, буквы, цифры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соответствует содержанию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пространства учитывается целостность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организации,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игровыми средствами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спортивным, оздоровительным оборудованием, инвентарем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национально-культурные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климатические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движения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предметной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обеспечивает игровую, познавательную, исследовательскую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 активность всех воспитанников, 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proofErr w:type="spellEnd"/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интересов, мотивов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используется разновеликая,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преимущественно достаточно низкая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высоте), открытая (без стекол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задних стенок) 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расположении материалов, различных составляющих предметной среды (детской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мебели, матов, мягких модулей, ширм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 для разнообразного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полифункциональных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природных, бросовых материалов, пригодных для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предметов-заместителей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игре)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отражена мобильность средового окружения, позволяющая обеспечить новизну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сложность предметно-пространственной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детям обеспечена возможность практического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преобразовании предметной среды, основанного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группы, участка обеспечена возможность его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 задачами,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посредством подручных средств для различных временных сооружений (домиков, игровых уголков, оград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предоставлена возможность использования одних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объектов участка (постройки,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 четкого образа,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объекты – низкие кустарники, деревья, пеньки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разных видов детской деятельности, которые можно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маркеров игрового пространства, мест для общения, игры, исследования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подстраивания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 под 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иные игровые или педагогические задачи, обеспечение опыта построения собственных игровых пространств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прогулке, использования подручного материала для этой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 учет специфики информационной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рисков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различных пространств (для игры, конструирования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разнообразных материалов, игр, игрушек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обеспечивающих свободный выбор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гендерная 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используются игровые объекты, которые вариативно используются детьми (например,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поднимаются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спускаются различными способами, катаются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качаются, цепляются)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обеспечено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телесного образа 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помещениях, предназначенных для образовательной деятельности детей (музыкальном, спортивном залах, зимнем саду, изостудии, театре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обеспечены условия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деятельности детей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групповых 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организованы условия, при которых дети имеют возможность собираться для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всей группой вместе,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объединяться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 группы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 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прилегающих территорий здания образовательной организации выделены зоны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больших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 групп детей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использования методов проектирования как средств поисковой, познавательно-исследовательской, творческой, игровой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видов деятельности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обсуждения родителями (законными представителями) детей вопросов,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обеспечена возможность для ознакомления родителей (законных представителей) детей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условиях, для соблюдения единства семейного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 воспитания, что способствует конструктивному взаимодействию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поддержки индивидуальности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реализации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различных центров активности, дающих возможность детям приобрести разнообразный опыт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 (отличительными знаками, символами)),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дополнительных материалов, для изменения, дополнения обустройства центров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его элементы отвечают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такими как санитарно-эпидемиологические правила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участка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группы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обеспечены условия для проведения диагностики состояния здоровья детей, медицинских процедур, коррекционных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необходимость обеспечения эмоционального благополучия детей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предметно-пространственным окружением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комфортных условий для работы сотрудников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помещений обеспечено достаточно пространства для свободного передвижения детей,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выделены помещения или зоны для разных видов двигательной активности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бега, прыжков, лазания, метания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максимального рассредоточения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групповом блоке (рациональное использование всех помещений, игровая, спальня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приемная)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дети имеют возможность безопасного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 инфраструктуры детского сада,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достаточно места для специального оборудования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имеется специально приспособленная мебель, позволяющая безопасно заниматься разными видами деятельности, общаться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территории детского сада организована 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явлений (снег, ветер, солнце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F0628" w:rsidRDefault="00AF0628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F0628" w:rsidRDefault="00AF0628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материально-технических условий образовательной деятельности</w:t>
      </w:r>
    </w:p>
    <w:p w:rsidR="00AF0628" w:rsidRPr="00A97166" w:rsidRDefault="005262B3" w:rsidP="00250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019"/>
        <w:gridCol w:w="2247"/>
        <w:gridCol w:w="1175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материально-технического обеспечения ООП ДО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объеме, предусмотренном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оснащенными учебными кабинетами, необходимыми для реализации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используемыми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 образования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компьютеров, имеющих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территории,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 правилами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оборудованных помещений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теневых навесов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имеется песочница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приспособлением для укрытия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песком; обеспечена возможность его замены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столов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стульев, соответствующих числу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маркировки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шкафчиках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раздевальной (приемной)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гендерной спецификой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сертификатов на игрушки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мебели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спальных комнатах обеспечивает свободный проход детей между кроватями,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наружными стенами,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отопительными 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холодильное оборудование, инвентарь, посуда, тара находятся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кухонном инвентаре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посуде для сырых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 пищевых продуктов имеется маркировка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Соблюдаются условия хранения сырой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 продукции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 документацией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Соблюдается график генеральной уборки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температурного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4C625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Показатели, характеризующие общий критерий оценки качества оснащенности помещений </w:t>
            </w:r>
            <w:r w:rsidR="004C62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4C625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помещения для приготовления дезинфицирующих растворов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техники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новогодних утренников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средств защиты органов дыхания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 месте, противопожарного режима, эвакуационных выходов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 состояние пожарной сигнализации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автоматической системы оповещения людей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образовательных программ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носителей информации, необходимых для обеспечения беспрепятственного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объектам (местам предоставления услуг)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инвалидов, имеющих стойкие расстройства функции зрения, слуха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звуковой информацией,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надписей, знаков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 текстовой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знаками, выполненными рельефно-точечным шрифтом Брайля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контрастном фоне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кадровых условий образовательной деятельности</w:t>
      </w: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5094"/>
        <w:gridCol w:w="2275"/>
        <w:gridCol w:w="1192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укомплектованности педагогическими кадрами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штатным расписанием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4C62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помощи: педагог-психолог, учитель-логопед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ООП, касающийся уровня образования педагогических кадров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переподготовка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обеспечена 100%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уровня квалификации педагогических кадров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ООП, касающиеся непрерывности профессионального образования педагогических кадров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прохождения повышения квалификации руководящим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работникам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разработаны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 программы повышения квалификации управленческих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кадров, предусматривающие владение ими теоретическими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знаниями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(стационарные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обеспечено методическое сопровождение педагогических кадров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дошкольной педагогики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касающийся участия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городских, областных, всероссийских мероприятиях презентующих опыт педагогов детского сада.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4C62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профессиональных конкурсах муниципального, регионального уровней </w:t>
            </w:r>
            <w:r w:rsidR="004C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участвуют </w:t>
            </w:r>
            <w:r w:rsidR="004C62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4C625C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формах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муниципальных, территориальных, региональных, всероссийских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628" w:rsidRPr="00A97166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057"/>
        <w:gridCol w:w="2223"/>
        <w:gridCol w:w="1161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потребности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 свои предложения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побуждает детей высказывать свои чувства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мысли,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событиях, участниками которых они были (о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сам делится своими переживаниями, рассказывают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 каждого ребенка (обращаются вежливо,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имени, интересуются мнением ребенка, считаются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еде, одежде, играх,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подчеркнуть его достоинства, отмечает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успехи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 жизненной ситуации, одаренным детям)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относят только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 его достоинства)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ребенка; обеспечивает гибкое ситуативное взаимодействие, опирающееся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друге, организует совместные игры, различные виды продуктивной деятельности, способствующие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 будут делать, последовательность действий, распределение действий между участниками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(решение задач без помощи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чтобы понять ребенка как личность,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 чтобы создавать для него комфортные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занятий побуждает высказывать собственные мнения, пожелания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 высказывания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 ребенку право принимать собственное решение; выбирать игры, занятия, партнера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пр.;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 нарушений прав ребенка,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физическому наказанию или другим негативным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оказывают поддержку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детей-инвалидов, круга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 проблемами; формированию способности сопереживать, проявляя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максимально возможное расширение социокультурного пространства семьи ребенка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через специально организованное регулярное общение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 детьми,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финансовых условий образовательной деятельности</w:t>
      </w: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946"/>
        <w:gridCol w:w="2330"/>
        <w:gridCol w:w="1225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оплату труда работников, реализующих ООП ДО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муниципалитету, установленному учредителем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 труда учебно-вспомогательного персонала сохранен или увеличен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приобретение средств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соответствующих материалов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(учебно-методические пособия, дидактические пособия)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игровых пособий, спортивного инвентаря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технических средств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(ИКТ)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педагогических работников осуществляется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переподготовке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 деятельности осуществлено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 обеспечении, представленной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ФХД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 финансовых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расходовании размещен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сроки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образовательной организации размещена информация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 w:rsidRPr="00153D05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предоставление образовательной организацией дополнительных образовательных услуг,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 числе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образовательной деятельности подвида дополнительного образования «Дополнительное образование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дополнительных образовательных услуг,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F062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качества организации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3"/>
        <w:gridCol w:w="3193"/>
        <w:gridCol w:w="2705"/>
      </w:tblGrid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Баллы: 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соответствует,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частично соответствует,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полностью соответствует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ДО, АООП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обучающихся, запросам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педагог.</w:t>
            </w:r>
          </w:p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сотрудников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AF0628" w:rsidRPr="00A97166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воспитанников.</w:t>
            </w:r>
          </w:p>
          <w:p w:rsidR="00AF0628" w:rsidRDefault="005262B3" w:rsidP="00250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628" w:rsidRDefault="00AF0628" w:rsidP="00250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5"/>
        <w:gridCol w:w="2503"/>
        <w:gridCol w:w="2503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воспитанника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(больше-меньше, выше-ниже, длиннее-короче, одинаковые, равные) способом приложения или наложения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628" w:rsidRDefault="00AF0628" w:rsidP="00250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AF0628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Средние показатели по 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5"/>
        <w:gridCol w:w="2503"/>
        <w:gridCol w:w="2503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______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(больше-меньше, выше-ниже, длиннее-короче, одинаковые, равные) способом приложения или наложения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 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 w:rsidRPr="00153D0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Default="005262B3" w:rsidP="00250C8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Default="00AF0628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AF0628" w:rsidRPr="00A97166" w:rsidRDefault="005262B3" w:rsidP="00250C8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AF0628" w:rsidRPr="00A97166" w:rsidRDefault="00AF0628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0628" w:rsidRPr="00A97166" w:rsidRDefault="005262B3" w:rsidP="00250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изучения мнений родителей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качестве предоставляемых образовательных</w:t>
      </w:r>
      <w:r w:rsidRPr="00A97166">
        <w:rPr>
          <w:lang w:val="ru-RU"/>
        </w:rPr>
        <w:br/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7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5"/>
        <w:gridCol w:w="365"/>
        <w:gridCol w:w="511"/>
      </w:tblGrid>
      <w:tr w:rsidR="00AF0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AF0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28" w:rsidRDefault="005262B3" w:rsidP="00250C8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организована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 планируемых результатах освоения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 родителей учитывалось при разработке</w:t>
            </w:r>
            <w:r w:rsidR="004C625C">
              <w:rPr>
                <w:lang w:val="ru-RU"/>
              </w:rPr>
              <w:t xml:space="preserve"> 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своевременно предоставляется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актуальная информация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базе дошкольного образования, изменениям в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 можно получить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нравится 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уверен, что мой ребенок находится в безопасности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время пребывания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отмечаем поступательное развитие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нами/со мной проводят регулярные беседы о результатах освоения нашим/моим ребенком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информируют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корректной форме о проблемах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ребенка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наше/мое мнение при планировании коррекционной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относятся уважительно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устраивают условия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заинтересованы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участии в групповых и </w:t>
            </w:r>
            <w:proofErr w:type="spellStart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0628" w:rsidRPr="00153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0628" w:rsidRPr="00A97166" w:rsidRDefault="005262B3" w:rsidP="00250C8A">
            <w:pPr>
              <w:spacing w:before="0" w:beforeAutospacing="0" w:after="0" w:afterAutospacing="0"/>
              <w:rPr>
                <w:lang w:val="ru-RU"/>
              </w:rPr>
            </w:pP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будем рекомендовать детский сад коллегам по</w:t>
            </w:r>
            <w:r w:rsidRPr="00A97166">
              <w:rPr>
                <w:lang w:val="ru-RU"/>
              </w:rPr>
              <w:br/>
            </w:r>
            <w:r w:rsidRPr="00A97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работе/соседям/друзьям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0628" w:rsidRPr="00A97166" w:rsidRDefault="00AF0628" w:rsidP="00250C8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FBC" w:rsidRPr="00A97166" w:rsidRDefault="005B3FBC" w:rsidP="00250C8A">
      <w:pPr>
        <w:spacing w:before="0" w:beforeAutospacing="0" w:after="0" w:afterAutospacing="0"/>
        <w:rPr>
          <w:lang w:val="ru-RU"/>
        </w:rPr>
      </w:pPr>
    </w:p>
    <w:sectPr w:rsidR="005B3FBC" w:rsidRPr="00A971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2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85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E1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83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D6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62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E0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D4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03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A0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D0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4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F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16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F2F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E6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32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5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3D05"/>
    <w:rsid w:val="00250C8A"/>
    <w:rsid w:val="002D33B1"/>
    <w:rsid w:val="002D3591"/>
    <w:rsid w:val="003514A0"/>
    <w:rsid w:val="004C625C"/>
    <w:rsid w:val="004F7E17"/>
    <w:rsid w:val="005262B3"/>
    <w:rsid w:val="005A05CE"/>
    <w:rsid w:val="005B3FBC"/>
    <w:rsid w:val="00653AF6"/>
    <w:rsid w:val="008D390E"/>
    <w:rsid w:val="00A97166"/>
    <w:rsid w:val="00AF062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D8C5"/>
  <w15:docId w15:val="{672403CC-A91F-4074-BD64-C49F756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9094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dc:description>Подготовлено экспертами Актион-МЦФЭР</dc:description>
  <cp:lastModifiedBy>Заведующий</cp:lastModifiedBy>
  <cp:revision>3</cp:revision>
  <dcterms:created xsi:type="dcterms:W3CDTF">2023-04-07T08:25:00Z</dcterms:created>
  <dcterms:modified xsi:type="dcterms:W3CDTF">2023-04-07T08:42:00Z</dcterms:modified>
</cp:coreProperties>
</file>